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F49" w:rsidRPr="0057521D" w:rsidRDefault="004B7F49" w:rsidP="00CE5EC7">
      <w:pPr>
        <w:autoSpaceDE w:val="0"/>
        <w:autoSpaceDN w:val="0"/>
        <w:adjustRightInd w:val="0"/>
        <w:spacing w:after="0" w:line="240" w:lineRule="auto"/>
        <w:jc w:val="right"/>
        <w:outlineLvl w:val="0"/>
        <w:rPr>
          <w:rFonts w:ascii="Times New Roman" w:hAnsi="Times New Roman" w:cs="Times New Roman"/>
          <w:bCs/>
          <w:sz w:val="28"/>
          <w:szCs w:val="28"/>
        </w:rPr>
      </w:pPr>
      <w:r w:rsidRPr="0057521D">
        <w:rPr>
          <w:rFonts w:ascii="Times New Roman" w:hAnsi="Times New Roman" w:cs="Times New Roman"/>
          <w:bCs/>
          <w:sz w:val="28"/>
          <w:szCs w:val="28"/>
        </w:rPr>
        <w:t>Утвержден Решением</w:t>
      </w:r>
    </w:p>
    <w:p w:rsidR="004B7F49" w:rsidRPr="0057521D" w:rsidRDefault="004B7F49" w:rsidP="004B7F49">
      <w:pPr>
        <w:autoSpaceDE w:val="0"/>
        <w:autoSpaceDN w:val="0"/>
        <w:adjustRightInd w:val="0"/>
        <w:spacing w:after="0" w:line="240" w:lineRule="auto"/>
        <w:jc w:val="right"/>
        <w:rPr>
          <w:rFonts w:ascii="Times New Roman" w:hAnsi="Times New Roman" w:cs="Times New Roman"/>
          <w:bCs/>
          <w:sz w:val="28"/>
          <w:szCs w:val="28"/>
        </w:rPr>
      </w:pPr>
      <w:r w:rsidRPr="0057521D">
        <w:rPr>
          <w:rFonts w:ascii="Times New Roman" w:hAnsi="Times New Roman" w:cs="Times New Roman"/>
          <w:bCs/>
          <w:sz w:val="28"/>
          <w:szCs w:val="28"/>
        </w:rPr>
        <w:t>Представительного Собрания</w:t>
      </w:r>
    </w:p>
    <w:p w:rsidR="004B7F49" w:rsidRPr="0057521D" w:rsidRDefault="004B7F49" w:rsidP="004B7F49">
      <w:pPr>
        <w:autoSpaceDE w:val="0"/>
        <w:autoSpaceDN w:val="0"/>
        <w:adjustRightInd w:val="0"/>
        <w:spacing w:after="0" w:line="240" w:lineRule="auto"/>
        <w:jc w:val="right"/>
        <w:rPr>
          <w:rFonts w:ascii="Times New Roman" w:hAnsi="Times New Roman" w:cs="Times New Roman"/>
          <w:bCs/>
          <w:sz w:val="28"/>
          <w:szCs w:val="28"/>
        </w:rPr>
      </w:pPr>
      <w:r w:rsidRPr="0057521D">
        <w:rPr>
          <w:rFonts w:ascii="Times New Roman" w:hAnsi="Times New Roman" w:cs="Times New Roman"/>
          <w:bCs/>
          <w:sz w:val="28"/>
          <w:szCs w:val="28"/>
        </w:rPr>
        <w:t>Горшеченского района</w:t>
      </w:r>
    </w:p>
    <w:p w:rsidR="004B7F49" w:rsidRPr="0057521D" w:rsidRDefault="004B7F49" w:rsidP="004B7F49">
      <w:pPr>
        <w:autoSpaceDE w:val="0"/>
        <w:autoSpaceDN w:val="0"/>
        <w:adjustRightInd w:val="0"/>
        <w:spacing w:after="0" w:line="240" w:lineRule="auto"/>
        <w:jc w:val="right"/>
        <w:rPr>
          <w:rFonts w:ascii="Times New Roman" w:hAnsi="Times New Roman" w:cs="Times New Roman"/>
          <w:bCs/>
          <w:sz w:val="28"/>
          <w:szCs w:val="28"/>
        </w:rPr>
      </w:pPr>
      <w:r w:rsidRPr="0057521D">
        <w:rPr>
          <w:rFonts w:ascii="Times New Roman" w:hAnsi="Times New Roman" w:cs="Times New Roman"/>
          <w:bCs/>
          <w:sz w:val="28"/>
          <w:szCs w:val="28"/>
        </w:rPr>
        <w:t>Курской области</w:t>
      </w:r>
    </w:p>
    <w:p w:rsidR="004B7F49" w:rsidRPr="0057521D" w:rsidRDefault="004B7F49" w:rsidP="004B7F49">
      <w:pPr>
        <w:autoSpaceDE w:val="0"/>
        <w:autoSpaceDN w:val="0"/>
        <w:adjustRightInd w:val="0"/>
        <w:spacing w:after="0" w:line="240" w:lineRule="auto"/>
        <w:jc w:val="right"/>
        <w:rPr>
          <w:rFonts w:ascii="Times New Roman" w:hAnsi="Times New Roman" w:cs="Times New Roman"/>
          <w:b/>
          <w:sz w:val="28"/>
          <w:szCs w:val="28"/>
        </w:rPr>
      </w:pPr>
      <w:bookmarkStart w:id="0" w:name="_GoBack"/>
      <w:bookmarkEnd w:id="0"/>
      <w:r w:rsidRPr="0057521D">
        <w:rPr>
          <w:rFonts w:ascii="Times New Roman" w:hAnsi="Times New Roman" w:cs="Times New Roman"/>
          <w:bCs/>
          <w:sz w:val="28"/>
          <w:szCs w:val="28"/>
        </w:rPr>
        <w:t xml:space="preserve">от </w:t>
      </w:r>
      <w:r w:rsidR="009540FA">
        <w:rPr>
          <w:rFonts w:ascii="Times New Roman" w:hAnsi="Times New Roman" w:cs="Times New Roman"/>
          <w:bCs/>
          <w:sz w:val="28"/>
          <w:szCs w:val="28"/>
        </w:rPr>
        <w:t>14</w:t>
      </w:r>
      <w:r w:rsidR="0057521D" w:rsidRPr="0057521D">
        <w:rPr>
          <w:rFonts w:ascii="Times New Roman" w:hAnsi="Times New Roman" w:cs="Times New Roman"/>
          <w:bCs/>
          <w:sz w:val="28"/>
          <w:szCs w:val="28"/>
        </w:rPr>
        <w:t>.</w:t>
      </w:r>
      <w:r w:rsidR="009540FA">
        <w:rPr>
          <w:rFonts w:ascii="Times New Roman" w:hAnsi="Times New Roman" w:cs="Times New Roman"/>
          <w:bCs/>
          <w:sz w:val="28"/>
          <w:szCs w:val="28"/>
        </w:rPr>
        <w:t>07.</w:t>
      </w:r>
      <w:r w:rsidR="0057521D" w:rsidRPr="0057521D">
        <w:rPr>
          <w:rFonts w:ascii="Times New Roman" w:hAnsi="Times New Roman" w:cs="Times New Roman"/>
          <w:bCs/>
          <w:sz w:val="28"/>
          <w:szCs w:val="28"/>
        </w:rPr>
        <w:t>2020</w:t>
      </w:r>
      <w:r w:rsidRPr="0057521D">
        <w:rPr>
          <w:rFonts w:ascii="Times New Roman" w:hAnsi="Times New Roman" w:cs="Times New Roman"/>
          <w:bCs/>
          <w:sz w:val="28"/>
          <w:szCs w:val="28"/>
        </w:rPr>
        <w:t xml:space="preserve"> г. №</w:t>
      </w:r>
      <w:r w:rsidR="009540FA">
        <w:rPr>
          <w:rFonts w:ascii="Times New Roman" w:hAnsi="Times New Roman" w:cs="Times New Roman"/>
          <w:bCs/>
          <w:sz w:val="28"/>
          <w:szCs w:val="28"/>
        </w:rPr>
        <w:t>45</w:t>
      </w:r>
    </w:p>
    <w:p w:rsidR="004B7F49" w:rsidRPr="0057521D" w:rsidRDefault="004B7F49" w:rsidP="004B7F49">
      <w:pPr>
        <w:autoSpaceDE w:val="0"/>
        <w:autoSpaceDN w:val="0"/>
        <w:adjustRightInd w:val="0"/>
        <w:spacing w:after="0" w:line="240" w:lineRule="auto"/>
        <w:rPr>
          <w:rFonts w:ascii="Times New Roman" w:hAnsi="Times New Roman" w:cs="Times New Roman"/>
          <w:b/>
          <w:sz w:val="28"/>
          <w:szCs w:val="28"/>
        </w:rPr>
      </w:pPr>
    </w:p>
    <w:p w:rsidR="004B7F49" w:rsidRPr="0057521D" w:rsidRDefault="004B7F49" w:rsidP="004B7F49">
      <w:pPr>
        <w:autoSpaceDE w:val="0"/>
        <w:autoSpaceDN w:val="0"/>
        <w:adjustRightInd w:val="0"/>
        <w:spacing w:after="0" w:line="240" w:lineRule="auto"/>
        <w:rPr>
          <w:rFonts w:ascii="Times New Roman" w:hAnsi="Times New Roman" w:cs="Times New Roman"/>
          <w:b/>
          <w:sz w:val="28"/>
          <w:szCs w:val="28"/>
        </w:rPr>
      </w:pPr>
    </w:p>
    <w:p w:rsidR="004B7F49" w:rsidRPr="0057521D" w:rsidRDefault="004B7F49" w:rsidP="004B7F49">
      <w:pPr>
        <w:autoSpaceDE w:val="0"/>
        <w:autoSpaceDN w:val="0"/>
        <w:adjustRightInd w:val="0"/>
        <w:spacing w:after="0" w:line="240" w:lineRule="auto"/>
        <w:jc w:val="center"/>
        <w:rPr>
          <w:rFonts w:ascii="Times New Roman" w:hAnsi="Times New Roman" w:cs="Times New Roman"/>
          <w:b/>
          <w:bCs/>
          <w:sz w:val="28"/>
          <w:szCs w:val="28"/>
        </w:rPr>
      </w:pPr>
      <w:r w:rsidRPr="0057521D">
        <w:rPr>
          <w:rFonts w:ascii="Times New Roman" w:hAnsi="Times New Roman" w:cs="Times New Roman"/>
          <w:b/>
          <w:bCs/>
          <w:sz w:val="28"/>
          <w:szCs w:val="28"/>
        </w:rPr>
        <w:t>ПОРЯДОК</w:t>
      </w:r>
    </w:p>
    <w:p w:rsidR="004B7F49" w:rsidRPr="0057521D" w:rsidRDefault="004B7F49" w:rsidP="004B7F49">
      <w:pPr>
        <w:autoSpaceDE w:val="0"/>
        <w:autoSpaceDN w:val="0"/>
        <w:adjustRightInd w:val="0"/>
        <w:spacing w:after="0" w:line="240" w:lineRule="auto"/>
        <w:ind w:firstLine="540"/>
        <w:jc w:val="center"/>
        <w:rPr>
          <w:rFonts w:ascii="Times New Roman" w:hAnsi="Times New Roman" w:cs="Times New Roman"/>
          <w:b/>
          <w:sz w:val="28"/>
          <w:szCs w:val="28"/>
        </w:rPr>
      </w:pPr>
      <w:r w:rsidRPr="0057521D">
        <w:rPr>
          <w:rFonts w:ascii="Times New Roman" w:hAnsi="Times New Roman" w:cs="Times New Roman"/>
          <w:b/>
          <w:sz w:val="28"/>
          <w:szCs w:val="28"/>
        </w:rPr>
        <w:t xml:space="preserve">предоставления из бюджета муниципального района </w:t>
      </w:r>
    </w:p>
    <w:p w:rsidR="004B7F49" w:rsidRPr="0057521D" w:rsidRDefault="004B7F49" w:rsidP="004B7F49">
      <w:pPr>
        <w:autoSpaceDE w:val="0"/>
        <w:autoSpaceDN w:val="0"/>
        <w:adjustRightInd w:val="0"/>
        <w:spacing w:after="0" w:line="240" w:lineRule="auto"/>
        <w:ind w:firstLine="540"/>
        <w:jc w:val="center"/>
        <w:rPr>
          <w:rFonts w:ascii="Times New Roman" w:hAnsi="Times New Roman" w:cs="Times New Roman"/>
          <w:b/>
          <w:sz w:val="28"/>
          <w:szCs w:val="28"/>
        </w:rPr>
      </w:pPr>
      <w:r w:rsidRPr="0057521D">
        <w:rPr>
          <w:rFonts w:ascii="Times New Roman" w:hAnsi="Times New Roman" w:cs="Times New Roman"/>
          <w:b/>
          <w:sz w:val="28"/>
          <w:szCs w:val="28"/>
        </w:rPr>
        <w:t>«Горшеченский район» Курской области иных межбюджетных трансфертов бюджетам поселений Горшеченского района Курской области на осуществление части полномочий по решению вопросов местного значения муниципального района</w:t>
      </w: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r w:rsidRPr="0057521D">
        <w:rPr>
          <w:rFonts w:ascii="Times New Roman" w:hAnsi="Times New Roman" w:cs="Times New Roman"/>
          <w:sz w:val="28"/>
          <w:szCs w:val="28"/>
        </w:rPr>
        <w:t>1. Настоящий Порядок предоставления из бюджета муниципального района "Горшеченский район" Курской области иных межбюджетных трансфертов бюджетам поселений Горшеченского района Курской области на осуществление части полномочий по решению вопросов местного значения муниципального района (далее - Порядок) определяет случаи и основания предоставления из бюджета муниципального района "Горшеченский район" Курской области (далее - бюджета муниципального района) иных межбюджетных трансфертов на осуществление части полномочий по решению вопросов местного значения муниципального района (далее - иных межбюджетных трансфертов).</w:t>
      </w: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r w:rsidRPr="0057521D">
        <w:rPr>
          <w:rFonts w:ascii="Times New Roman" w:hAnsi="Times New Roman" w:cs="Times New Roman"/>
          <w:sz w:val="28"/>
          <w:szCs w:val="28"/>
        </w:rPr>
        <w:t>2. Иные межбюджетные трансферты из бюджета муниципального района бюджетам поселений Горшеченского района Курской области предусматриваются в составе расходов бюджета муниципального района.</w:t>
      </w: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r w:rsidRPr="0057521D">
        <w:rPr>
          <w:rFonts w:ascii="Times New Roman" w:hAnsi="Times New Roman" w:cs="Times New Roman"/>
          <w:sz w:val="28"/>
          <w:szCs w:val="28"/>
        </w:rPr>
        <w:t xml:space="preserve">3. Иные межбюджетные трансферты предоставляются в случаях передачи органами местного самоуправления Горшеченского района Курской области осуществления части своих полномочий по решению вопросов местного значения органам местного самоуправления поселений Горшеченского района Курской области. </w:t>
      </w: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r w:rsidRPr="0057521D">
        <w:rPr>
          <w:rFonts w:ascii="Times New Roman" w:hAnsi="Times New Roman" w:cs="Times New Roman"/>
          <w:sz w:val="28"/>
          <w:szCs w:val="28"/>
        </w:rPr>
        <w:t>4. Объем иных межбюджетных трансфертов из бюджета муниципального района на осуществление части полномочий по решению вопросов местного значения муниципального района "Горшеченский район" Курской области рассчитывается по методике определения объемов иных межбюджетных трансфертов, предоставляемых из бюджета муниципального района "Горшеченский район" Курской области бюджетам поселений Горшеченского района Курской области на осуществление части полномочий по решению вопросов местного значения муниципального района, утвержденной решением Представительного Собрания Горшеченского района Курской области.</w:t>
      </w: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r w:rsidRPr="0057521D">
        <w:rPr>
          <w:rFonts w:ascii="Times New Roman" w:hAnsi="Times New Roman" w:cs="Times New Roman"/>
          <w:sz w:val="28"/>
          <w:szCs w:val="28"/>
        </w:rPr>
        <w:t xml:space="preserve">5. Объем иных межбюджетных трансфертов, определенный к предоставлению бюджетам поселений, утверждается решением о бюджете </w:t>
      </w:r>
      <w:r w:rsidRPr="0057521D">
        <w:rPr>
          <w:rFonts w:ascii="Times New Roman" w:hAnsi="Times New Roman" w:cs="Times New Roman"/>
          <w:sz w:val="28"/>
          <w:szCs w:val="28"/>
        </w:rPr>
        <w:lastRenderedPageBreak/>
        <w:t>муниципального района " Горшеченский район" Курской области на очередной финансовый год и плановый период.</w:t>
      </w: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r w:rsidRPr="0057521D">
        <w:rPr>
          <w:rFonts w:ascii="Times New Roman" w:hAnsi="Times New Roman" w:cs="Times New Roman"/>
          <w:sz w:val="28"/>
          <w:szCs w:val="28"/>
        </w:rPr>
        <w:t>6. Иные межбюджетные трансферты из бюджета муниципального района предоставляются на основании соглашения, заключаемого между администрацией соответствующего поселения на территории муниципального района " Горшеченский район" Курской области и Администрацией Горшеченского района Курской области. Указанные соглашения подготавливаются в соответствии с утвержденным порядком и решением Представительного Собрания Горшеченского района Курской области о передаче осуществления части своих полномочий органам местного самоуправления поселений Горшеченского района Курской области.</w:t>
      </w: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r w:rsidRPr="0057521D">
        <w:rPr>
          <w:rFonts w:ascii="Times New Roman" w:hAnsi="Times New Roman" w:cs="Times New Roman"/>
          <w:sz w:val="28"/>
          <w:szCs w:val="28"/>
        </w:rPr>
        <w:t>7. Перечисление иных межбюджетных трансфертов по заключенным соглашениям производится в соответствии со сводной бюджетной росписью и кассовым планом.</w:t>
      </w: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r w:rsidRPr="0057521D">
        <w:rPr>
          <w:rFonts w:ascii="Times New Roman" w:hAnsi="Times New Roman" w:cs="Times New Roman"/>
          <w:sz w:val="28"/>
          <w:szCs w:val="28"/>
        </w:rPr>
        <w:t>8. Не использованный в текущем финансовом году остаток иных межбюджетных трансфертов подлежит возврату в бюджет муниципального района органами местного самоуправления поселений Горшеченского района Курской области.</w:t>
      </w: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r w:rsidRPr="0057521D">
        <w:rPr>
          <w:rFonts w:ascii="Times New Roman" w:hAnsi="Times New Roman" w:cs="Times New Roman"/>
          <w:sz w:val="28"/>
          <w:szCs w:val="28"/>
        </w:rPr>
        <w:t>9. Контроль за использованием иных межбюджетных трансфертов осуществляет Администрация Горшеченского района Курской области.</w:t>
      </w: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p>
    <w:p w:rsidR="004B7F49" w:rsidRPr="0057521D" w:rsidRDefault="004B7F49" w:rsidP="004B7F49">
      <w:pPr>
        <w:autoSpaceDE w:val="0"/>
        <w:autoSpaceDN w:val="0"/>
        <w:adjustRightInd w:val="0"/>
        <w:spacing w:after="0" w:line="240" w:lineRule="auto"/>
        <w:ind w:firstLine="540"/>
        <w:jc w:val="both"/>
        <w:rPr>
          <w:rFonts w:ascii="Times New Roman" w:hAnsi="Times New Roman" w:cs="Times New Roman"/>
          <w:sz w:val="28"/>
          <w:szCs w:val="28"/>
        </w:rPr>
      </w:pPr>
    </w:p>
    <w:sectPr w:rsidR="004B7F49" w:rsidRPr="0057521D" w:rsidSect="000546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94430B"/>
    <w:multiLevelType w:val="hybridMultilevel"/>
    <w:tmpl w:val="4D2AC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B7F49"/>
    <w:rsid w:val="0005465C"/>
    <w:rsid w:val="002F3170"/>
    <w:rsid w:val="003012DA"/>
    <w:rsid w:val="004B7F49"/>
    <w:rsid w:val="0057521D"/>
    <w:rsid w:val="009540FA"/>
    <w:rsid w:val="00CE5EC7"/>
    <w:rsid w:val="00F978D9"/>
    <w:rsid w:val="00FC4F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6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7F49"/>
    <w:pPr>
      <w:widowControl w:val="0"/>
      <w:autoSpaceDE w:val="0"/>
      <w:autoSpaceDN w:val="0"/>
      <w:adjustRightInd w:val="0"/>
      <w:spacing w:after="0" w:line="240" w:lineRule="auto"/>
      <w:ind w:firstLine="720"/>
    </w:pPr>
    <w:rPr>
      <w:rFonts w:ascii="Times New Roman" w:eastAsia="Times New Roman" w:hAnsi="Times New Roman" w:cs="Times New Roman"/>
      <w:sz w:val="24"/>
      <w:szCs w:val="24"/>
    </w:rPr>
  </w:style>
  <w:style w:type="paragraph" w:customStyle="1" w:styleId="ConsPlusNonformat">
    <w:name w:val="ConsPlusNonformat"/>
    <w:rsid w:val="004B7F49"/>
    <w:pPr>
      <w:widowControl w:val="0"/>
      <w:autoSpaceDE w:val="0"/>
      <w:autoSpaceDN w:val="0"/>
      <w:spacing w:after="0" w:line="240" w:lineRule="auto"/>
    </w:pPr>
    <w:rPr>
      <w:rFonts w:ascii="Courier New" w:eastAsia="Times New Roman" w:hAnsi="Courier New" w:cs="Courier New"/>
      <w:sz w:val="20"/>
      <w:szCs w:val="20"/>
    </w:rPr>
  </w:style>
  <w:style w:type="paragraph" w:styleId="a3">
    <w:name w:val="Balloon Text"/>
    <w:basedOn w:val="a"/>
    <w:link w:val="a4"/>
    <w:uiPriority w:val="99"/>
    <w:semiHidden/>
    <w:unhideWhenUsed/>
    <w:rsid w:val="00CE5EC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E5EC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506</Words>
  <Characters>2886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Stroitelstvo</dc:creator>
  <cp:lastModifiedBy>Windows User</cp:lastModifiedBy>
  <cp:revision>5</cp:revision>
  <cp:lastPrinted>2020-07-13T07:30:00Z</cp:lastPrinted>
  <dcterms:created xsi:type="dcterms:W3CDTF">2020-03-20T10:19:00Z</dcterms:created>
  <dcterms:modified xsi:type="dcterms:W3CDTF">2020-07-22T07:17:00Z</dcterms:modified>
</cp:coreProperties>
</file>